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8" w:rsidRDefault="008E2F88" w:rsidP="008E2F88">
      <w:pPr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  <w:r w:rsidRPr="008E2F88">
        <w:rPr>
          <w:rFonts w:asciiTheme="minorEastAsia" w:hAnsiTheme="minorEastAsia" w:hint="eastAsia"/>
          <w:bCs/>
          <w:sz w:val="28"/>
          <w:szCs w:val="28"/>
        </w:rPr>
        <w:t>附件：</w:t>
      </w:r>
    </w:p>
    <w:p w:rsidR="00B00D80" w:rsidRPr="008E2F88" w:rsidRDefault="00B00D80" w:rsidP="008E2F88">
      <w:pPr>
        <w:rPr>
          <w:rFonts w:asciiTheme="minorEastAsia" w:hAnsiTheme="minorEastAsia"/>
          <w:bCs/>
          <w:sz w:val="28"/>
          <w:szCs w:val="28"/>
        </w:rPr>
      </w:pPr>
    </w:p>
    <w:p w:rsidR="00BC23F4" w:rsidRPr="00C762BD" w:rsidRDefault="008E2F88" w:rsidP="00BC23F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762BD">
        <w:rPr>
          <w:rFonts w:ascii="华文中宋" w:eastAsia="华文中宋" w:hAnsi="华文中宋" w:hint="eastAsia"/>
          <w:b/>
          <w:bCs/>
          <w:sz w:val="36"/>
          <w:szCs w:val="36"/>
        </w:rPr>
        <w:t>2018年</w:t>
      </w:r>
      <w:r w:rsidR="002D2602" w:rsidRPr="00C762BD">
        <w:rPr>
          <w:rFonts w:ascii="华文中宋" w:eastAsia="华文中宋" w:hAnsi="华文中宋" w:hint="eastAsia"/>
          <w:b/>
          <w:bCs/>
          <w:sz w:val="36"/>
          <w:szCs w:val="36"/>
        </w:rPr>
        <w:t>全国金融</w:t>
      </w:r>
      <w:r w:rsidRPr="00C762BD">
        <w:rPr>
          <w:rFonts w:ascii="华文中宋" w:eastAsia="华文中宋" w:hAnsi="华文中宋" w:hint="eastAsia"/>
          <w:b/>
          <w:bCs/>
          <w:sz w:val="36"/>
          <w:szCs w:val="36"/>
        </w:rPr>
        <w:t>专业学位研究生教育</w:t>
      </w:r>
    </w:p>
    <w:p w:rsidR="002D2602" w:rsidRPr="00C762BD" w:rsidRDefault="002D2602" w:rsidP="00BC23F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C762BD">
        <w:rPr>
          <w:rFonts w:ascii="华文中宋" w:eastAsia="华文中宋" w:hAnsi="华文中宋" w:hint="eastAsia"/>
          <w:b/>
          <w:bCs/>
          <w:sz w:val="36"/>
          <w:szCs w:val="36"/>
        </w:rPr>
        <w:t>工作要点</w:t>
      </w:r>
    </w:p>
    <w:p w:rsidR="008E2F88" w:rsidRPr="00B00D80" w:rsidRDefault="008E2F88" w:rsidP="002D2602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1B28F0" w:rsidRPr="004E7B65" w:rsidRDefault="002D2602" w:rsidP="004E7B65">
      <w:pPr>
        <w:pStyle w:val="a3"/>
        <w:numPr>
          <w:ilvl w:val="0"/>
          <w:numId w:val="13"/>
        </w:numPr>
        <w:ind w:firstLineChars="0"/>
        <w:rPr>
          <w:rFonts w:ascii="黑体" w:eastAsia="黑体" w:hAnsi="黑体"/>
          <w:sz w:val="30"/>
          <w:szCs w:val="30"/>
        </w:rPr>
      </w:pPr>
      <w:r w:rsidRPr="004E7B65">
        <w:rPr>
          <w:rFonts w:ascii="黑体" w:eastAsia="黑体" w:hAnsi="黑体" w:hint="eastAsia"/>
          <w:sz w:val="30"/>
          <w:szCs w:val="30"/>
        </w:rPr>
        <w:t>制度和标准制定</w:t>
      </w:r>
    </w:p>
    <w:p w:rsidR="009D5D5C" w:rsidRPr="004E7B65" w:rsidRDefault="00BF71F9" w:rsidP="004E7B65">
      <w:pPr>
        <w:ind w:left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第一条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行业导师相关标准</w:t>
      </w:r>
    </w:p>
    <w:p w:rsidR="0027506F" w:rsidRPr="0027506F" w:rsidRDefault="0027506F" w:rsidP="0027506F">
      <w:pPr>
        <w:ind w:left="560"/>
        <w:rPr>
          <w:rFonts w:ascii="黑体" w:eastAsia="黑体" w:hAnsi="黑体"/>
          <w:sz w:val="28"/>
          <w:szCs w:val="28"/>
        </w:rPr>
      </w:pPr>
      <w:r w:rsidRPr="0027506F">
        <w:rPr>
          <w:rFonts w:ascii="黑体" w:eastAsia="黑体" w:hAnsi="黑体" w:hint="eastAsia"/>
          <w:sz w:val="28"/>
          <w:szCs w:val="28"/>
        </w:rPr>
        <w:t>【责任主体】标准制定与资格对接分会、秘书处</w:t>
      </w:r>
    </w:p>
    <w:p w:rsidR="00204A0D" w:rsidRPr="0020113F" w:rsidRDefault="004E7B65" w:rsidP="0020113F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2018年</w:t>
      </w:r>
      <w:r w:rsidR="0027506F">
        <w:rPr>
          <w:rFonts w:ascii="楷体" w:eastAsia="楷体" w:hAnsi="楷体" w:hint="eastAsia"/>
          <w:sz w:val="28"/>
          <w:szCs w:val="28"/>
        </w:rPr>
        <w:t>上半年制定初稿，征求中国证券业协会和中国银行业协会等业界意见，鼓励培养单位试行。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第二条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实践基地相关标准</w:t>
      </w:r>
    </w:p>
    <w:p w:rsidR="00F81C79" w:rsidRPr="00F81C79" w:rsidRDefault="00F81C79" w:rsidP="00F81C79">
      <w:pPr>
        <w:ind w:left="560"/>
        <w:rPr>
          <w:rFonts w:ascii="黑体" w:eastAsia="黑体" w:hAnsi="黑体"/>
          <w:sz w:val="28"/>
          <w:szCs w:val="28"/>
        </w:rPr>
      </w:pPr>
      <w:r w:rsidRPr="00F81C79">
        <w:rPr>
          <w:rFonts w:ascii="黑体" w:eastAsia="黑体" w:hAnsi="黑体" w:hint="eastAsia"/>
          <w:sz w:val="28"/>
          <w:szCs w:val="28"/>
        </w:rPr>
        <w:t>【责任主体】标准制定与资格对接分会、秘书处</w:t>
      </w:r>
    </w:p>
    <w:p w:rsidR="00204A0D" w:rsidRPr="00F81C79" w:rsidRDefault="004E7B65" w:rsidP="00F81C79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2018年</w:t>
      </w:r>
      <w:r w:rsidR="00F81C79" w:rsidRPr="00F81C79">
        <w:rPr>
          <w:rFonts w:ascii="楷体" w:eastAsia="楷体" w:hAnsi="楷体" w:hint="eastAsia"/>
          <w:sz w:val="28"/>
          <w:szCs w:val="28"/>
        </w:rPr>
        <w:t>上半年制定初稿，征求中国证券业协会和中国银行业协会等业界意见，鼓励培养单位试行。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第三条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学生实践能力要求</w:t>
      </w:r>
    </w:p>
    <w:p w:rsidR="00147269" w:rsidRPr="00147269" w:rsidRDefault="00147269" w:rsidP="00147269">
      <w:pPr>
        <w:ind w:left="560"/>
        <w:rPr>
          <w:rFonts w:ascii="黑体" w:eastAsia="黑体" w:hAnsi="黑体"/>
          <w:sz w:val="28"/>
          <w:szCs w:val="28"/>
        </w:rPr>
      </w:pPr>
      <w:r w:rsidRPr="00147269">
        <w:rPr>
          <w:rFonts w:ascii="黑体" w:eastAsia="黑体" w:hAnsi="黑体" w:hint="eastAsia"/>
          <w:sz w:val="28"/>
          <w:szCs w:val="28"/>
        </w:rPr>
        <w:t>【责任主体】标准制定与资格对接分会、秘书处</w:t>
      </w:r>
    </w:p>
    <w:p w:rsidR="00204A0D" w:rsidRPr="00147269" w:rsidRDefault="00147269" w:rsidP="00147269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="004E7B65">
        <w:rPr>
          <w:rFonts w:ascii="楷体" w:eastAsia="楷体" w:hAnsi="楷体" w:hint="eastAsia"/>
          <w:sz w:val="28"/>
          <w:szCs w:val="28"/>
        </w:rPr>
        <w:t>2018年</w:t>
      </w:r>
      <w:r w:rsidRPr="00147269">
        <w:rPr>
          <w:rFonts w:ascii="楷体" w:eastAsia="楷体" w:hAnsi="楷体" w:hint="eastAsia"/>
          <w:sz w:val="28"/>
          <w:szCs w:val="28"/>
        </w:rPr>
        <w:t>上半年制定初稿，征求中国证券业协会和中国银行业协会等业界意见，鼓励培养单位试行。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第四条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学位论文相关标准</w:t>
      </w:r>
    </w:p>
    <w:p w:rsidR="00685E3B" w:rsidRPr="0020113F" w:rsidRDefault="00204A0D" w:rsidP="00B00D80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147269" w:rsidRPr="0020113F">
        <w:rPr>
          <w:rFonts w:ascii="黑体" w:eastAsia="黑体" w:hAnsi="黑体" w:hint="eastAsia"/>
          <w:sz w:val="28"/>
          <w:szCs w:val="28"/>
        </w:rPr>
        <w:t>论文与质量评估分会、</w:t>
      </w:r>
      <w:r w:rsidR="00685E3B" w:rsidRPr="0020113F">
        <w:rPr>
          <w:rFonts w:ascii="黑体" w:eastAsia="黑体" w:hAnsi="黑体" w:hint="eastAsia"/>
          <w:sz w:val="28"/>
          <w:szCs w:val="28"/>
        </w:rPr>
        <w:t>标准制定与资格对接分会、</w:t>
      </w:r>
      <w:r w:rsidR="00147269" w:rsidRPr="0020113F">
        <w:rPr>
          <w:rFonts w:ascii="黑体" w:eastAsia="黑体" w:hAnsi="黑体" w:hint="eastAsia"/>
          <w:sz w:val="28"/>
          <w:szCs w:val="28"/>
        </w:rPr>
        <w:t>秘书处</w:t>
      </w:r>
    </w:p>
    <w:p w:rsidR="0020113F" w:rsidRDefault="00147269" w:rsidP="0020113F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结合部分院校已有的</w:t>
      </w:r>
      <w:r w:rsidR="00081125">
        <w:rPr>
          <w:rFonts w:ascii="楷体" w:eastAsia="楷体" w:hAnsi="楷体" w:hint="eastAsia"/>
          <w:sz w:val="28"/>
          <w:szCs w:val="28"/>
        </w:rPr>
        <w:t>学位</w:t>
      </w:r>
      <w:r>
        <w:rPr>
          <w:rFonts w:ascii="楷体" w:eastAsia="楷体" w:hAnsi="楷体" w:hint="eastAsia"/>
          <w:sz w:val="28"/>
          <w:szCs w:val="28"/>
        </w:rPr>
        <w:t>论文相关标准，制定</w:t>
      </w:r>
      <w:r w:rsidR="00204742">
        <w:rPr>
          <w:rFonts w:ascii="楷体" w:eastAsia="楷体" w:hAnsi="楷体" w:hint="eastAsia"/>
          <w:sz w:val="28"/>
          <w:szCs w:val="28"/>
        </w:rPr>
        <w:t>“案例研究”、“产</w:t>
      </w:r>
      <w:r w:rsidR="00204742">
        <w:rPr>
          <w:rFonts w:ascii="楷体" w:eastAsia="楷体" w:hAnsi="楷体" w:hint="eastAsia"/>
          <w:sz w:val="28"/>
          <w:szCs w:val="28"/>
        </w:rPr>
        <w:lastRenderedPageBreak/>
        <w:t>品设计”、“调研报告”、“问题解决方案”等非学术型论文</w:t>
      </w:r>
      <w:r>
        <w:rPr>
          <w:rFonts w:ascii="楷体" w:eastAsia="楷体" w:hAnsi="楷体" w:hint="eastAsia"/>
          <w:sz w:val="28"/>
          <w:szCs w:val="28"/>
        </w:rPr>
        <w:t>的评价标准。</w:t>
      </w:r>
    </w:p>
    <w:p w:rsidR="004E7B65" w:rsidRDefault="004E7B65">
      <w:pPr>
        <w:rPr>
          <w:rFonts w:ascii="黑体" w:eastAsia="黑体" w:hAnsi="黑体"/>
          <w:b/>
          <w:bCs/>
          <w:sz w:val="30"/>
          <w:szCs w:val="30"/>
        </w:rPr>
      </w:pPr>
    </w:p>
    <w:p w:rsidR="002D2602" w:rsidRPr="0020113F" w:rsidRDefault="002D2602">
      <w:pPr>
        <w:rPr>
          <w:rFonts w:ascii="黑体" w:eastAsia="黑体" w:hAnsi="黑体"/>
          <w:b/>
          <w:bCs/>
          <w:sz w:val="30"/>
          <w:szCs w:val="30"/>
        </w:rPr>
      </w:pPr>
      <w:r w:rsidRPr="0020113F">
        <w:rPr>
          <w:rFonts w:ascii="黑体" w:eastAsia="黑体" w:hAnsi="黑体" w:hint="eastAsia"/>
          <w:b/>
          <w:bCs/>
          <w:sz w:val="30"/>
          <w:szCs w:val="30"/>
        </w:rPr>
        <w:t>二、搭建交流平台</w:t>
      </w:r>
    </w:p>
    <w:p w:rsidR="009D5D5C" w:rsidRDefault="00BF71F9" w:rsidP="001B28F0">
      <w:pPr>
        <w:ind w:left="7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第五条 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组织培养院校间多种形式的交流活动</w:t>
      </w:r>
    </w:p>
    <w:p w:rsidR="001B28F0" w:rsidRPr="005B5FA7" w:rsidRDefault="00204A0D" w:rsidP="0020113F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1B28F0" w:rsidRPr="0020113F">
        <w:rPr>
          <w:rFonts w:ascii="黑体" w:eastAsia="黑体" w:hAnsi="黑体" w:hint="eastAsia"/>
          <w:sz w:val="28"/>
          <w:szCs w:val="28"/>
        </w:rPr>
        <w:t>教材建设与师资培训分会、秘书处、承办院校</w:t>
      </w:r>
    </w:p>
    <w:p w:rsidR="002D2602" w:rsidRPr="004E7B65" w:rsidRDefault="00204742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探索</w:t>
      </w:r>
      <w:r w:rsidR="003371C4" w:rsidRPr="004E7B65">
        <w:rPr>
          <w:rFonts w:ascii="楷体" w:eastAsia="楷体" w:hAnsi="楷体" w:hint="eastAsia"/>
          <w:sz w:val="28"/>
          <w:szCs w:val="28"/>
        </w:rPr>
        <w:t>举办金融硕士导师研讨会、</w:t>
      </w:r>
      <w:r w:rsidRPr="004E7B65">
        <w:rPr>
          <w:rFonts w:ascii="楷体" w:eastAsia="楷体" w:hAnsi="楷体" w:hint="eastAsia"/>
          <w:sz w:val="28"/>
          <w:szCs w:val="28"/>
        </w:rPr>
        <w:t>教学方法研讨会、项目管理经验研讨会等</w:t>
      </w:r>
      <w:r w:rsidR="002D2602" w:rsidRPr="004E7B65">
        <w:rPr>
          <w:rFonts w:ascii="楷体" w:eastAsia="楷体" w:hAnsi="楷体" w:hint="eastAsia"/>
          <w:sz w:val="28"/>
          <w:szCs w:val="28"/>
        </w:rPr>
        <w:t>。</w:t>
      </w:r>
    </w:p>
    <w:p w:rsidR="009D5D5C" w:rsidRDefault="00BF71F9" w:rsidP="001B28F0">
      <w:pPr>
        <w:ind w:left="7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第六条 </w:t>
      </w:r>
      <w:r w:rsidR="000860AF">
        <w:rPr>
          <w:rFonts w:ascii="华文中宋" w:eastAsia="华文中宋" w:hAnsi="华文中宋" w:hint="eastAsia"/>
          <w:sz w:val="28"/>
          <w:szCs w:val="28"/>
        </w:rPr>
        <w:t>办好</w:t>
      </w:r>
      <w:r w:rsidR="003371C4">
        <w:rPr>
          <w:rFonts w:ascii="华文中宋" w:eastAsia="华文中宋" w:hAnsi="华文中宋" w:hint="eastAsia"/>
          <w:sz w:val="28"/>
          <w:szCs w:val="28"/>
        </w:rPr>
        <w:t>第二届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“中国金融教育发展论坛”</w:t>
      </w:r>
    </w:p>
    <w:p w:rsidR="005B5FA7" w:rsidRPr="005B5FA7" w:rsidRDefault="00204A0D" w:rsidP="005B5FA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5B5FA7" w:rsidRPr="0020113F">
        <w:rPr>
          <w:rFonts w:ascii="黑体" w:eastAsia="黑体" w:hAnsi="黑体" w:hint="eastAsia"/>
          <w:sz w:val="28"/>
          <w:szCs w:val="28"/>
        </w:rPr>
        <w:t>秘书处、</w:t>
      </w:r>
      <w:r w:rsidR="00204742">
        <w:rPr>
          <w:rFonts w:ascii="黑体" w:eastAsia="黑体" w:hAnsi="黑体" w:hint="eastAsia"/>
          <w:sz w:val="28"/>
          <w:szCs w:val="28"/>
        </w:rPr>
        <w:t>中国人民银行金融研究所</w:t>
      </w:r>
      <w:r w:rsidR="00584F16">
        <w:rPr>
          <w:rFonts w:ascii="黑体" w:eastAsia="黑体" w:hAnsi="黑体" w:hint="eastAsia"/>
          <w:sz w:val="28"/>
          <w:szCs w:val="28"/>
        </w:rPr>
        <w:t>、</w:t>
      </w:r>
      <w:r w:rsidR="005B5FA7" w:rsidRPr="0020113F">
        <w:rPr>
          <w:rFonts w:ascii="黑体" w:eastAsia="黑体" w:hAnsi="黑体" w:hint="eastAsia"/>
          <w:sz w:val="28"/>
          <w:szCs w:val="28"/>
        </w:rPr>
        <w:t>承办院校</w:t>
      </w:r>
    </w:p>
    <w:p w:rsidR="002D2602" w:rsidRPr="004E7B65" w:rsidRDefault="003371C4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2018年上半年举办第二</w:t>
      </w:r>
      <w:r w:rsidR="002D2602" w:rsidRPr="004E7B65">
        <w:rPr>
          <w:rFonts w:ascii="楷体" w:eastAsia="楷体" w:hAnsi="楷体" w:hint="eastAsia"/>
          <w:sz w:val="28"/>
          <w:szCs w:val="28"/>
        </w:rPr>
        <w:t>届</w:t>
      </w:r>
      <w:r w:rsidRPr="004E7B65">
        <w:rPr>
          <w:rFonts w:ascii="楷体" w:eastAsia="楷体" w:hAnsi="楷体" w:hint="eastAsia"/>
          <w:sz w:val="28"/>
          <w:szCs w:val="28"/>
        </w:rPr>
        <w:t>“中国金融教育发展论坛”。</w:t>
      </w:r>
      <w:r w:rsidR="002D2602" w:rsidRPr="004E7B65">
        <w:rPr>
          <w:rFonts w:ascii="楷体" w:eastAsia="楷体" w:hAnsi="楷体" w:hint="eastAsia"/>
          <w:sz w:val="28"/>
          <w:szCs w:val="28"/>
        </w:rPr>
        <w:t>由</w:t>
      </w:r>
      <w:proofErr w:type="gramStart"/>
      <w:r w:rsidR="002D2602" w:rsidRPr="004E7B65">
        <w:rPr>
          <w:rFonts w:ascii="楷体" w:eastAsia="楷体" w:hAnsi="楷体" w:hint="eastAsia"/>
          <w:sz w:val="28"/>
          <w:szCs w:val="28"/>
        </w:rPr>
        <w:t>金融教指委</w:t>
      </w:r>
      <w:proofErr w:type="gramEnd"/>
      <w:r w:rsidR="002D2602" w:rsidRPr="004E7B65">
        <w:rPr>
          <w:rFonts w:ascii="楷体" w:eastAsia="楷体" w:hAnsi="楷体" w:hint="eastAsia"/>
          <w:sz w:val="28"/>
          <w:szCs w:val="28"/>
        </w:rPr>
        <w:t>主办，培养单位承办，金融机构赞助，探索中国金融发展</w:t>
      </w:r>
      <w:r w:rsidRPr="004E7B65">
        <w:rPr>
          <w:rFonts w:ascii="楷体" w:eastAsia="楷体" w:hAnsi="楷体" w:hint="eastAsia"/>
          <w:sz w:val="28"/>
          <w:szCs w:val="28"/>
        </w:rPr>
        <w:t>热点</w:t>
      </w:r>
      <w:r w:rsidR="002D2602" w:rsidRPr="004E7B65">
        <w:rPr>
          <w:rFonts w:ascii="楷体" w:eastAsia="楷体" w:hAnsi="楷体" w:hint="eastAsia"/>
          <w:sz w:val="28"/>
          <w:szCs w:val="28"/>
        </w:rPr>
        <w:t>与人才需求。</w:t>
      </w:r>
    </w:p>
    <w:p w:rsidR="00204742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第七条 </w:t>
      </w:r>
      <w:r w:rsidR="00204742">
        <w:rPr>
          <w:rFonts w:ascii="华文中宋" w:eastAsia="华文中宋" w:hAnsi="华文中宋" w:hint="eastAsia"/>
          <w:sz w:val="28"/>
          <w:szCs w:val="28"/>
        </w:rPr>
        <w:t>办好2018年全国金融专业学位研究生教育工作会议</w:t>
      </w:r>
    </w:p>
    <w:p w:rsidR="00204742" w:rsidRPr="0020113F" w:rsidRDefault="00204742" w:rsidP="0020474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0113F">
        <w:rPr>
          <w:rFonts w:ascii="黑体" w:eastAsia="黑体" w:hAnsi="黑体" w:hint="eastAsia"/>
          <w:sz w:val="28"/>
          <w:szCs w:val="28"/>
        </w:rPr>
        <w:t>【责任主体】秘书处</w:t>
      </w:r>
    </w:p>
    <w:p w:rsidR="00204742" w:rsidRPr="004E7B65" w:rsidRDefault="00204742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2018年下半年，继续办好全国金融专业学位研究生教育工作会议，准确把握国家有关专业学位政策、引导各培养单位金融硕士项目发展、总结经验、梳理重点难题。</w:t>
      </w:r>
    </w:p>
    <w:p w:rsidR="009D5D5C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第八条 对开展</w:t>
      </w:r>
      <w:r w:rsidR="003371C4">
        <w:rPr>
          <w:rFonts w:ascii="华文中宋" w:eastAsia="华文中宋" w:hAnsi="华文中宋" w:hint="eastAsia"/>
          <w:sz w:val="28"/>
          <w:szCs w:val="28"/>
        </w:rPr>
        <w:t>金融硕士项目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国际交流活动</w:t>
      </w:r>
      <w:r w:rsidR="003371C4">
        <w:rPr>
          <w:rFonts w:ascii="华文中宋" w:eastAsia="华文中宋" w:hAnsi="华文中宋" w:hint="eastAsia"/>
          <w:sz w:val="28"/>
          <w:szCs w:val="28"/>
        </w:rPr>
        <w:t>的</w:t>
      </w:r>
      <w:r w:rsidR="003371C4" w:rsidRPr="00F96008">
        <w:rPr>
          <w:rFonts w:ascii="华文中宋" w:eastAsia="华文中宋" w:hAnsi="华文中宋" w:hint="eastAsia"/>
          <w:sz w:val="28"/>
          <w:szCs w:val="28"/>
        </w:rPr>
        <w:t>培养单位</w:t>
      </w:r>
      <w:r w:rsidR="003371C4">
        <w:rPr>
          <w:rFonts w:ascii="华文中宋" w:eastAsia="华文中宋" w:hAnsi="华文中宋" w:hint="eastAsia"/>
          <w:sz w:val="28"/>
          <w:szCs w:val="28"/>
        </w:rPr>
        <w:t>进行调研</w:t>
      </w:r>
    </w:p>
    <w:p w:rsidR="005B5FA7" w:rsidRPr="0020113F" w:rsidRDefault="00204A0D" w:rsidP="0020113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0113F">
        <w:rPr>
          <w:rFonts w:ascii="黑体" w:eastAsia="黑体" w:hAnsi="黑体" w:hint="eastAsia"/>
          <w:sz w:val="28"/>
          <w:szCs w:val="28"/>
        </w:rPr>
        <w:t>【责任主体】</w:t>
      </w:r>
      <w:r w:rsidR="005B5FA7" w:rsidRPr="0020113F">
        <w:rPr>
          <w:rFonts w:ascii="黑体" w:eastAsia="黑体" w:hAnsi="黑体" w:hint="eastAsia"/>
          <w:sz w:val="28"/>
          <w:szCs w:val="28"/>
        </w:rPr>
        <w:t>秘书处</w:t>
      </w:r>
      <w:r w:rsidR="004E7B65">
        <w:rPr>
          <w:rFonts w:ascii="黑体" w:eastAsia="黑体" w:hAnsi="黑体" w:hint="eastAsia"/>
          <w:sz w:val="28"/>
          <w:szCs w:val="28"/>
        </w:rPr>
        <w:t>、相关委员</w:t>
      </w:r>
    </w:p>
    <w:p w:rsidR="002D2602" w:rsidRPr="004E7B65" w:rsidRDefault="003371C4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调研开展金融硕士</w:t>
      </w:r>
      <w:r w:rsidR="002D2602" w:rsidRPr="004E7B65">
        <w:rPr>
          <w:rFonts w:ascii="楷体" w:eastAsia="楷体" w:hAnsi="楷体" w:hint="eastAsia"/>
          <w:sz w:val="28"/>
          <w:szCs w:val="28"/>
        </w:rPr>
        <w:t>国际交流合作</w:t>
      </w:r>
      <w:r w:rsidRPr="004E7B65">
        <w:rPr>
          <w:rFonts w:ascii="楷体" w:eastAsia="楷体" w:hAnsi="楷体" w:hint="eastAsia"/>
          <w:sz w:val="28"/>
          <w:szCs w:val="28"/>
        </w:rPr>
        <w:t>情况，了解</w:t>
      </w:r>
      <w:r w:rsidR="002D2602" w:rsidRPr="004E7B65">
        <w:rPr>
          <w:rFonts w:ascii="楷体" w:eastAsia="楷体" w:hAnsi="楷体" w:hint="eastAsia"/>
          <w:sz w:val="28"/>
          <w:szCs w:val="28"/>
        </w:rPr>
        <w:t>国外金融硕士培养经验。</w:t>
      </w:r>
    </w:p>
    <w:p w:rsidR="009D5D5C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第九条 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继续组织全国范围内的核心课程师资培训</w:t>
      </w:r>
    </w:p>
    <w:p w:rsidR="005B5FA7" w:rsidRPr="0020113F" w:rsidRDefault="00204A0D" w:rsidP="005B5FA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5B5FA7" w:rsidRPr="0020113F">
        <w:rPr>
          <w:rFonts w:ascii="黑体" w:eastAsia="黑体" w:hAnsi="黑体" w:hint="eastAsia"/>
          <w:sz w:val="28"/>
          <w:szCs w:val="28"/>
        </w:rPr>
        <w:t>教材建设与师资培训分会、秘书处、承办院校</w:t>
      </w:r>
    </w:p>
    <w:p w:rsidR="004E7B65" w:rsidRDefault="003371C4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启动核心课程</w:t>
      </w:r>
      <w:r w:rsidR="003B2787">
        <w:rPr>
          <w:rFonts w:ascii="楷体" w:eastAsia="楷体" w:hAnsi="楷体" w:hint="eastAsia"/>
          <w:sz w:val="28"/>
          <w:szCs w:val="28"/>
        </w:rPr>
        <w:t>修订工作（包括《金融伦理学》的编写），开展相应的师资培训。</w:t>
      </w:r>
    </w:p>
    <w:p w:rsidR="009D5D5C" w:rsidRPr="004E7B65" w:rsidRDefault="00BF71F9" w:rsidP="004E7B65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继续组织全国范围内案例教学示范课程（培训）</w:t>
      </w:r>
      <w:r w:rsidR="00685E3B" w:rsidRPr="004E7B65">
        <w:rPr>
          <w:rFonts w:ascii="华文中宋" w:eastAsia="华文中宋" w:hAnsi="华文中宋" w:hint="eastAsia"/>
          <w:sz w:val="28"/>
          <w:szCs w:val="28"/>
        </w:rPr>
        <w:t>、完善“中国金融专业学位案例中心”</w:t>
      </w:r>
    </w:p>
    <w:p w:rsidR="005B5FA7" w:rsidRPr="005B5FA7" w:rsidRDefault="00204A0D" w:rsidP="005B5FA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5B5FA7" w:rsidRPr="00DE5010">
        <w:rPr>
          <w:rFonts w:ascii="黑体" w:eastAsia="黑体" w:hAnsi="黑体" w:hint="eastAsia"/>
          <w:sz w:val="28"/>
          <w:szCs w:val="28"/>
        </w:rPr>
        <w:t>案例库建设分会、教材建设与师资培训分会、秘书处、承办院校</w:t>
      </w:r>
    </w:p>
    <w:p w:rsidR="000860AF" w:rsidRDefault="00E65952" w:rsidP="00DE5010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举办第四届金融专业学位</w:t>
      </w:r>
      <w:r w:rsidR="003B2787">
        <w:rPr>
          <w:rFonts w:ascii="楷体" w:eastAsia="楷体" w:hAnsi="楷体" w:hint="eastAsia"/>
          <w:sz w:val="28"/>
          <w:szCs w:val="28"/>
        </w:rPr>
        <w:t>教学案例大赛，举办一次案例教学研讨会</w:t>
      </w:r>
      <w:r w:rsidR="00853DCE">
        <w:rPr>
          <w:rFonts w:ascii="楷体" w:eastAsia="楷体" w:hAnsi="楷体" w:hint="eastAsia"/>
          <w:sz w:val="28"/>
          <w:szCs w:val="28"/>
        </w:rPr>
        <w:t>。</w:t>
      </w:r>
    </w:p>
    <w:p w:rsidR="00811642" w:rsidRPr="004E7B65" w:rsidRDefault="00BF71F9" w:rsidP="00DE5010">
      <w:pPr>
        <w:pStyle w:val="a3"/>
        <w:ind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第十一条 </w:t>
      </w:r>
      <w:r w:rsidR="00811642" w:rsidRPr="004E7B65">
        <w:rPr>
          <w:rFonts w:ascii="华文中宋" w:eastAsia="华文中宋" w:hAnsi="华文中宋" w:hint="eastAsia"/>
          <w:sz w:val="28"/>
          <w:szCs w:val="28"/>
        </w:rPr>
        <w:t>探索精品课程网上教学系统</w:t>
      </w:r>
    </w:p>
    <w:p w:rsidR="00811642" w:rsidRPr="0020113F" w:rsidRDefault="00811642" w:rsidP="00811642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0113F">
        <w:rPr>
          <w:rFonts w:ascii="黑体" w:eastAsia="黑体" w:hAnsi="黑体" w:hint="eastAsia"/>
          <w:sz w:val="28"/>
          <w:szCs w:val="28"/>
        </w:rPr>
        <w:t>【责任主体】秘书处</w:t>
      </w:r>
    </w:p>
    <w:p w:rsidR="00811642" w:rsidRDefault="00811642" w:rsidP="00811642">
      <w:pPr>
        <w:ind w:firstLine="552"/>
        <w:rPr>
          <w:rFonts w:ascii="华文中宋" w:eastAsia="华文中宋" w:hAnsi="华文中宋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调研社会上已有的网络课程项目运营情况，探索建立</w:t>
      </w:r>
      <w:proofErr w:type="gramStart"/>
      <w:r w:rsidRPr="004E7B65">
        <w:rPr>
          <w:rFonts w:ascii="楷体" w:eastAsia="楷体" w:hAnsi="楷体" w:hint="eastAsia"/>
          <w:sz w:val="28"/>
          <w:szCs w:val="28"/>
        </w:rPr>
        <w:t>金融教指委</w:t>
      </w:r>
      <w:proofErr w:type="gramEnd"/>
      <w:r w:rsidRPr="004E7B65">
        <w:rPr>
          <w:rFonts w:ascii="楷体" w:eastAsia="楷体" w:hAnsi="楷体" w:hint="eastAsia"/>
          <w:sz w:val="28"/>
          <w:szCs w:val="28"/>
        </w:rPr>
        <w:t>牵头开发的一套金融硕士</w:t>
      </w:r>
      <w:r>
        <w:rPr>
          <w:rFonts w:ascii="楷体" w:eastAsia="楷体" w:hAnsi="楷体" w:hint="eastAsia"/>
          <w:sz w:val="28"/>
          <w:szCs w:val="28"/>
        </w:rPr>
        <w:t>精品课程网上教学系统，实现金融硕士精品课程的培养单位间共享</w:t>
      </w:r>
      <w:r w:rsidRPr="00F96008">
        <w:rPr>
          <w:rFonts w:ascii="华文中宋" w:eastAsia="华文中宋" w:hAnsi="华文中宋" w:hint="eastAsia"/>
          <w:sz w:val="28"/>
          <w:szCs w:val="28"/>
        </w:rPr>
        <w:t>。</w:t>
      </w:r>
    </w:p>
    <w:p w:rsidR="00DE5010" w:rsidRPr="00853DCE" w:rsidRDefault="00DE5010">
      <w:pPr>
        <w:rPr>
          <w:rFonts w:ascii="华文中宋" w:eastAsia="华文中宋" w:hAnsi="华文中宋"/>
          <w:sz w:val="28"/>
          <w:szCs w:val="28"/>
        </w:rPr>
      </w:pPr>
    </w:p>
    <w:p w:rsidR="002D2602" w:rsidRPr="00DE5010" w:rsidRDefault="002D2602" w:rsidP="00DE5010">
      <w:pPr>
        <w:rPr>
          <w:rFonts w:ascii="黑体" w:eastAsia="黑体" w:hAnsi="黑体"/>
          <w:b/>
          <w:bCs/>
          <w:sz w:val="30"/>
          <w:szCs w:val="30"/>
        </w:rPr>
      </w:pPr>
      <w:r w:rsidRPr="00DE5010">
        <w:rPr>
          <w:rFonts w:ascii="黑体" w:eastAsia="黑体" w:hAnsi="黑体" w:hint="eastAsia"/>
          <w:b/>
          <w:bCs/>
          <w:sz w:val="30"/>
          <w:szCs w:val="30"/>
        </w:rPr>
        <w:t>三、考核评估</w:t>
      </w:r>
    </w:p>
    <w:p w:rsidR="005B5FA7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第十二条 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2018年将启动第二批授权点院校的合格评估工作，</w:t>
      </w:r>
      <w:proofErr w:type="gramStart"/>
      <w:r w:rsidR="002D2602" w:rsidRPr="00F96008">
        <w:rPr>
          <w:rFonts w:ascii="华文中宋" w:eastAsia="华文中宋" w:hAnsi="华文中宋" w:hint="eastAsia"/>
          <w:sz w:val="28"/>
          <w:szCs w:val="28"/>
        </w:rPr>
        <w:t>以评促建</w:t>
      </w:r>
      <w:proofErr w:type="gramEnd"/>
      <w:r w:rsidR="002D2602" w:rsidRPr="00F96008">
        <w:rPr>
          <w:rFonts w:ascii="华文中宋" w:eastAsia="华文中宋" w:hAnsi="华文中宋" w:hint="eastAsia"/>
          <w:sz w:val="28"/>
          <w:szCs w:val="28"/>
        </w:rPr>
        <w:t>，努力打造金融硕士品牌。</w:t>
      </w:r>
    </w:p>
    <w:p w:rsidR="00DE5010" w:rsidRPr="00DE5010" w:rsidRDefault="00DE5010" w:rsidP="00DE5010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Pr="00DE5010">
        <w:rPr>
          <w:rFonts w:ascii="黑体" w:eastAsia="黑体" w:hAnsi="黑体" w:hint="eastAsia"/>
          <w:sz w:val="28"/>
          <w:szCs w:val="28"/>
        </w:rPr>
        <w:t>论文与质量评估分会、秘书处</w:t>
      </w:r>
    </w:p>
    <w:p w:rsidR="009D5D5C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第十三条 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做好第一批院校合格评估中给予黄牌警示的5所院校的后续处理工作。</w:t>
      </w:r>
    </w:p>
    <w:p w:rsidR="00DE5010" w:rsidRPr="00DE5010" w:rsidRDefault="00DE5010" w:rsidP="00DE5010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Pr="00DE5010">
        <w:rPr>
          <w:rFonts w:ascii="黑体" w:eastAsia="黑体" w:hAnsi="黑体" w:hint="eastAsia"/>
          <w:sz w:val="28"/>
          <w:szCs w:val="28"/>
        </w:rPr>
        <w:t>论文与质量评估分会、秘书处</w:t>
      </w:r>
    </w:p>
    <w:p w:rsidR="002D2602" w:rsidRDefault="00BF71F9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 xml:space="preserve">第十四条 </w:t>
      </w:r>
      <w:r w:rsidR="002D2602" w:rsidRPr="00F96008">
        <w:rPr>
          <w:rFonts w:ascii="华文中宋" w:eastAsia="华文中宋" w:hAnsi="华文中宋" w:hint="eastAsia"/>
          <w:sz w:val="28"/>
          <w:szCs w:val="28"/>
        </w:rPr>
        <w:t>加强对各培养单位人才培养过程中的质量考核。</w:t>
      </w:r>
    </w:p>
    <w:p w:rsidR="00DE5010" w:rsidRPr="00DE5010" w:rsidRDefault="00DE5010" w:rsidP="00DE5010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Pr="00DE5010">
        <w:rPr>
          <w:rFonts w:ascii="黑体" w:eastAsia="黑体" w:hAnsi="黑体" w:hint="eastAsia"/>
          <w:sz w:val="28"/>
          <w:szCs w:val="28"/>
        </w:rPr>
        <w:t>论文与质量评估分会、秘书处</w:t>
      </w:r>
    </w:p>
    <w:p w:rsidR="00570BE0" w:rsidRPr="004E7B65" w:rsidRDefault="003B2787" w:rsidP="004E7B65">
      <w:pPr>
        <w:ind w:firstLine="552"/>
        <w:rPr>
          <w:rFonts w:ascii="楷体" w:eastAsia="楷体" w:hAnsi="楷体"/>
          <w:sz w:val="28"/>
          <w:szCs w:val="28"/>
        </w:rPr>
      </w:pPr>
      <w:r w:rsidRPr="004E7B65">
        <w:rPr>
          <w:rFonts w:ascii="楷体" w:eastAsia="楷体" w:hAnsi="楷体" w:hint="eastAsia"/>
          <w:sz w:val="28"/>
          <w:szCs w:val="28"/>
        </w:rPr>
        <w:t>对</w:t>
      </w:r>
      <w:r w:rsidR="00853DCE" w:rsidRPr="004E7B65">
        <w:rPr>
          <w:rFonts w:ascii="楷体" w:eastAsia="楷体" w:hAnsi="楷体" w:hint="eastAsia"/>
          <w:sz w:val="28"/>
          <w:szCs w:val="28"/>
        </w:rPr>
        <w:t>8</w:t>
      </w:r>
      <w:r w:rsidRPr="004E7B65">
        <w:rPr>
          <w:rFonts w:ascii="楷体" w:eastAsia="楷体" w:hAnsi="楷体" w:hint="eastAsia"/>
          <w:sz w:val="28"/>
          <w:szCs w:val="28"/>
        </w:rPr>
        <w:t>所</w:t>
      </w:r>
      <w:r w:rsidR="00853DCE" w:rsidRPr="004E7B65">
        <w:rPr>
          <w:rFonts w:ascii="楷体" w:eastAsia="楷体" w:hAnsi="楷体" w:hint="eastAsia"/>
          <w:sz w:val="28"/>
          <w:szCs w:val="28"/>
        </w:rPr>
        <w:t>（按照每个分委会2所计算）</w:t>
      </w:r>
      <w:r w:rsidRPr="004E7B65">
        <w:rPr>
          <w:rFonts w:ascii="楷体" w:eastAsia="楷体" w:hAnsi="楷体" w:hint="eastAsia"/>
          <w:sz w:val="28"/>
          <w:szCs w:val="28"/>
        </w:rPr>
        <w:t>以上的培养单位进行调研</w:t>
      </w:r>
      <w:r w:rsidR="00081125" w:rsidRPr="004E7B65">
        <w:rPr>
          <w:rFonts w:ascii="楷体" w:eastAsia="楷体" w:hAnsi="楷体" w:hint="eastAsia"/>
          <w:sz w:val="28"/>
          <w:szCs w:val="28"/>
        </w:rPr>
        <w:t>，调研的形式</w:t>
      </w:r>
      <w:r w:rsidR="00853DCE" w:rsidRPr="004E7B65">
        <w:rPr>
          <w:rFonts w:ascii="楷体" w:eastAsia="楷体" w:hAnsi="楷体" w:hint="eastAsia"/>
          <w:sz w:val="28"/>
          <w:szCs w:val="28"/>
        </w:rPr>
        <w:t>既</w:t>
      </w:r>
      <w:proofErr w:type="gramStart"/>
      <w:r w:rsidR="00081125" w:rsidRPr="004E7B65">
        <w:rPr>
          <w:rFonts w:ascii="楷体" w:eastAsia="楷体" w:hAnsi="楷体" w:hint="eastAsia"/>
          <w:sz w:val="28"/>
          <w:szCs w:val="28"/>
        </w:rPr>
        <w:t>包括教指委</w:t>
      </w:r>
      <w:proofErr w:type="gramEnd"/>
      <w:r w:rsidR="00081125" w:rsidRPr="004E7B65">
        <w:rPr>
          <w:rFonts w:ascii="楷体" w:eastAsia="楷体" w:hAnsi="楷体" w:hint="eastAsia"/>
          <w:sz w:val="28"/>
          <w:szCs w:val="28"/>
        </w:rPr>
        <w:t>秘书处组织的，也包括委员提出设想</w:t>
      </w:r>
      <w:r w:rsidR="00853DCE" w:rsidRPr="004E7B65">
        <w:rPr>
          <w:rFonts w:ascii="楷体" w:eastAsia="楷体" w:hAnsi="楷体" w:hint="eastAsia"/>
          <w:sz w:val="28"/>
          <w:szCs w:val="28"/>
        </w:rPr>
        <w:t>后</w:t>
      </w:r>
      <w:r w:rsidR="00081125" w:rsidRPr="004E7B65">
        <w:rPr>
          <w:rFonts w:ascii="楷体" w:eastAsia="楷体" w:hAnsi="楷体" w:hint="eastAsia"/>
          <w:sz w:val="28"/>
          <w:szCs w:val="28"/>
        </w:rPr>
        <w:t>秘书处</w:t>
      </w:r>
      <w:r w:rsidR="00853DCE" w:rsidRPr="004E7B65">
        <w:rPr>
          <w:rFonts w:ascii="楷体" w:eastAsia="楷体" w:hAnsi="楷体" w:hint="eastAsia"/>
          <w:sz w:val="28"/>
          <w:szCs w:val="28"/>
        </w:rPr>
        <w:t>协调相关院校而成形的，还包括部分培养单位提出邀请而成形的</w:t>
      </w:r>
      <w:r w:rsidRPr="004E7B65">
        <w:rPr>
          <w:rFonts w:ascii="楷体" w:eastAsia="楷体" w:hAnsi="楷体" w:hint="eastAsia"/>
          <w:sz w:val="28"/>
          <w:szCs w:val="28"/>
        </w:rPr>
        <w:t>。</w:t>
      </w:r>
    </w:p>
    <w:p w:rsidR="00DE5010" w:rsidRPr="00F96008" w:rsidRDefault="00DE5010" w:rsidP="005B5FA7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2D2602" w:rsidRPr="00DE5010" w:rsidRDefault="002D2602" w:rsidP="005B5FA7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b/>
          <w:bCs/>
          <w:sz w:val="30"/>
          <w:szCs w:val="30"/>
        </w:rPr>
      </w:pPr>
      <w:r w:rsidRPr="00DE5010">
        <w:rPr>
          <w:rFonts w:ascii="黑体" w:eastAsia="黑体" w:hAnsi="黑体" w:hint="eastAsia"/>
          <w:b/>
          <w:bCs/>
          <w:sz w:val="30"/>
          <w:szCs w:val="30"/>
        </w:rPr>
        <w:t>方向指导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第十五条 组织全国范围大赛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：教学案例大赛、优秀论文大赛</w:t>
      </w:r>
    </w:p>
    <w:p w:rsidR="005B5FA7" w:rsidRPr="00DE5010" w:rsidRDefault="00DE5010" w:rsidP="004C4351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570BE0" w:rsidRPr="00DE5010">
        <w:rPr>
          <w:rFonts w:ascii="黑体" w:eastAsia="黑体" w:hAnsi="黑体" w:hint="eastAsia"/>
          <w:sz w:val="28"/>
          <w:szCs w:val="28"/>
        </w:rPr>
        <w:t>论文与质量评估分会、案例库建设分会、秘书处</w:t>
      </w:r>
    </w:p>
    <w:p w:rsidR="00570BE0" w:rsidRPr="00DE5010" w:rsidRDefault="003B2787" w:rsidP="00DE5010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举办</w:t>
      </w:r>
      <w:r w:rsidR="00081125">
        <w:rPr>
          <w:rFonts w:ascii="楷体" w:eastAsia="楷体" w:hAnsi="楷体" w:hint="eastAsia"/>
          <w:sz w:val="28"/>
          <w:szCs w:val="28"/>
        </w:rPr>
        <w:t>第四届</w:t>
      </w:r>
      <w:r w:rsidR="00081125" w:rsidRPr="00DE5010">
        <w:rPr>
          <w:rFonts w:ascii="楷体" w:eastAsia="楷体" w:hAnsi="楷体" w:hint="eastAsia"/>
          <w:sz w:val="28"/>
          <w:szCs w:val="28"/>
        </w:rPr>
        <w:t>优秀</w:t>
      </w:r>
      <w:r w:rsidR="00081125">
        <w:rPr>
          <w:rFonts w:ascii="楷体" w:eastAsia="楷体" w:hAnsi="楷体" w:hint="eastAsia"/>
          <w:sz w:val="28"/>
          <w:szCs w:val="28"/>
        </w:rPr>
        <w:t>学位</w:t>
      </w:r>
      <w:r w:rsidR="00081125" w:rsidRPr="00DE5010">
        <w:rPr>
          <w:rFonts w:ascii="楷体" w:eastAsia="楷体" w:hAnsi="楷体" w:hint="eastAsia"/>
          <w:sz w:val="28"/>
          <w:szCs w:val="28"/>
        </w:rPr>
        <w:t>论文大赛，</w:t>
      </w:r>
      <w:r>
        <w:rPr>
          <w:rFonts w:ascii="楷体" w:eastAsia="楷体" w:hAnsi="楷体" w:hint="eastAsia"/>
          <w:sz w:val="28"/>
          <w:szCs w:val="28"/>
        </w:rPr>
        <w:t>第四届教学</w:t>
      </w:r>
      <w:r w:rsidR="00DE5010" w:rsidRPr="00DE5010">
        <w:rPr>
          <w:rFonts w:ascii="楷体" w:eastAsia="楷体" w:hAnsi="楷体" w:hint="eastAsia"/>
          <w:sz w:val="28"/>
          <w:szCs w:val="28"/>
        </w:rPr>
        <w:t>案例大赛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第十六条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核心课程教材修订</w:t>
      </w:r>
    </w:p>
    <w:p w:rsidR="00570BE0" w:rsidRPr="00DE5010" w:rsidRDefault="00DE5010" w:rsidP="00570BE0">
      <w:pPr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="00570BE0" w:rsidRPr="00DE5010">
        <w:rPr>
          <w:rFonts w:ascii="黑体" w:eastAsia="黑体" w:hAnsi="黑体" w:hint="eastAsia"/>
          <w:sz w:val="28"/>
          <w:szCs w:val="28"/>
        </w:rPr>
        <w:t>教材建设与师资培训分会、秘书处</w:t>
      </w:r>
    </w:p>
    <w:p w:rsidR="000860AF" w:rsidRDefault="003B2787" w:rsidP="00DE5010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启动核心课程修订工作，启动《金融伦理学》的编写。</w:t>
      </w:r>
    </w:p>
    <w:p w:rsidR="00DE5010" w:rsidRPr="00570BE0" w:rsidRDefault="00DE5010" w:rsidP="00570BE0">
      <w:pPr>
        <w:ind w:left="560"/>
        <w:rPr>
          <w:rFonts w:ascii="华文中宋" w:eastAsia="华文中宋" w:hAnsi="华文中宋"/>
          <w:sz w:val="28"/>
          <w:szCs w:val="28"/>
        </w:rPr>
      </w:pPr>
    </w:p>
    <w:p w:rsidR="002D2602" w:rsidRPr="00DE5010" w:rsidRDefault="002D2602" w:rsidP="00570BE0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b/>
          <w:bCs/>
          <w:sz w:val="30"/>
          <w:szCs w:val="30"/>
        </w:rPr>
      </w:pPr>
      <w:r w:rsidRPr="00DE5010">
        <w:rPr>
          <w:rFonts w:ascii="黑体" w:eastAsia="黑体" w:hAnsi="黑体" w:hint="eastAsia"/>
          <w:b/>
          <w:bCs/>
          <w:sz w:val="30"/>
          <w:szCs w:val="30"/>
        </w:rPr>
        <w:t>信息沟通与中介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第十七条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衔接人才市场需求，组织与业界的合作。</w:t>
      </w:r>
    </w:p>
    <w:p w:rsidR="00DE5010" w:rsidRPr="00DE5010" w:rsidRDefault="00DE5010" w:rsidP="00DE5010">
      <w:pPr>
        <w:ind w:left="560"/>
        <w:rPr>
          <w:rFonts w:ascii="华文中宋" w:eastAsia="华文中宋" w:hAnsi="华文中宋"/>
          <w:sz w:val="28"/>
          <w:szCs w:val="28"/>
        </w:rPr>
      </w:pPr>
      <w:r w:rsidRPr="00DE5010">
        <w:rPr>
          <w:rFonts w:ascii="黑体" w:eastAsia="黑体" w:hAnsi="黑体" w:hint="eastAsia"/>
          <w:sz w:val="28"/>
          <w:szCs w:val="28"/>
        </w:rPr>
        <w:t>【责任主体】标准制定与资格对接分会、秘书处</w:t>
      </w:r>
    </w:p>
    <w:p w:rsidR="00DE5010" w:rsidRPr="00DE5010" w:rsidRDefault="003B2787" w:rsidP="00811642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落实与中国证券业协会合作备忘录的各项细则，探讨与中国互联网金融协会、中国银行业协会等协会合作内容。</w:t>
      </w:r>
      <w:r w:rsidR="00811642">
        <w:rPr>
          <w:rFonts w:ascii="楷体" w:eastAsia="楷体" w:hAnsi="楷体" w:hint="eastAsia"/>
          <w:sz w:val="28"/>
          <w:szCs w:val="28"/>
        </w:rPr>
        <w:t>与中国证券业协会合作项目包括：共同研究促进金融人才的培养与交流、</w:t>
      </w:r>
      <w:r w:rsidR="00811642" w:rsidRPr="00811642">
        <w:rPr>
          <w:rFonts w:ascii="楷体" w:eastAsia="楷体" w:hAnsi="楷体" w:hint="eastAsia"/>
          <w:sz w:val="28"/>
          <w:szCs w:val="28"/>
        </w:rPr>
        <w:t>合作建立“证券行业金融硕士校外导师计划”</w:t>
      </w:r>
      <w:r w:rsidR="00811642">
        <w:rPr>
          <w:rFonts w:ascii="楷体" w:eastAsia="楷体" w:hAnsi="楷体" w:hint="eastAsia"/>
          <w:sz w:val="28"/>
          <w:szCs w:val="28"/>
        </w:rPr>
        <w:t>、</w:t>
      </w:r>
      <w:r w:rsidR="00811642" w:rsidRPr="00811642">
        <w:rPr>
          <w:rFonts w:ascii="楷体" w:eastAsia="楷体" w:hAnsi="楷体" w:hint="eastAsia"/>
          <w:sz w:val="28"/>
          <w:szCs w:val="28"/>
        </w:rPr>
        <w:t>教材开发合作</w:t>
      </w:r>
      <w:r w:rsidR="00811642">
        <w:rPr>
          <w:rFonts w:ascii="楷体" w:eastAsia="楷体" w:hAnsi="楷体" w:hint="eastAsia"/>
          <w:sz w:val="28"/>
          <w:szCs w:val="28"/>
        </w:rPr>
        <w:t>、</w:t>
      </w:r>
      <w:r w:rsidR="00811642" w:rsidRPr="00811642">
        <w:rPr>
          <w:rFonts w:ascii="楷体" w:eastAsia="楷体" w:hAnsi="楷体" w:hint="eastAsia"/>
          <w:sz w:val="28"/>
          <w:szCs w:val="28"/>
        </w:rPr>
        <w:t>研究选题的合作</w:t>
      </w:r>
      <w:r w:rsidR="00811642">
        <w:rPr>
          <w:rFonts w:ascii="楷体" w:eastAsia="楷体" w:hAnsi="楷体" w:hint="eastAsia"/>
          <w:sz w:val="28"/>
          <w:szCs w:val="28"/>
        </w:rPr>
        <w:t>、</w:t>
      </w:r>
      <w:r w:rsidR="00811642" w:rsidRPr="00811642">
        <w:rPr>
          <w:rFonts w:ascii="楷体" w:eastAsia="楷体" w:hAnsi="楷体" w:hint="eastAsia"/>
          <w:sz w:val="28"/>
          <w:szCs w:val="28"/>
        </w:rPr>
        <w:t>共同推进证券行业培训资源与高校金融教育资源双向开发利用</w:t>
      </w:r>
      <w:r w:rsidR="00811642">
        <w:rPr>
          <w:rFonts w:ascii="楷体" w:eastAsia="楷体" w:hAnsi="楷体" w:hint="eastAsia"/>
          <w:sz w:val="28"/>
          <w:szCs w:val="28"/>
        </w:rPr>
        <w:t>、</w:t>
      </w:r>
      <w:r w:rsidR="00811642" w:rsidRPr="00811642">
        <w:rPr>
          <w:rFonts w:ascii="楷体" w:eastAsia="楷体" w:hAnsi="楷体" w:hint="eastAsia"/>
          <w:sz w:val="28"/>
          <w:szCs w:val="28"/>
        </w:rPr>
        <w:t>证券从</w:t>
      </w:r>
      <w:r w:rsidR="00811642" w:rsidRPr="00811642">
        <w:rPr>
          <w:rFonts w:ascii="楷体" w:eastAsia="楷体" w:hAnsi="楷体" w:hint="eastAsia"/>
          <w:sz w:val="28"/>
          <w:szCs w:val="28"/>
        </w:rPr>
        <w:lastRenderedPageBreak/>
        <w:t>业资格考试的合作。</w:t>
      </w:r>
    </w:p>
    <w:p w:rsidR="009D5D5C" w:rsidRPr="004E7B65" w:rsidRDefault="00BF71F9" w:rsidP="004E7B65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第十八条 </w:t>
      </w:r>
      <w:r w:rsidR="002D2602" w:rsidRPr="004E7B65">
        <w:rPr>
          <w:rFonts w:ascii="华文中宋" w:eastAsia="华文中宋" w:hAnsi="华文中宋" w:hint="eastAsia"/>
          <w:sz w:val="28"/>
          <w:szCs w:val="28"/>
        </w:rPr>
        <w:t>与相关金融职业资格证书认证部门洽谈及对接，进一步提升金融硕士的就业能力。</w:t>
      </w:r>
    </w:p>
    <w:p w:rsidR="00DE5010" w:rsidRPr="00DE5010" w:rsidRDefault="00DE5010" w:rsidP="00DE5010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【</w:t>
      </w:r>
      <w:r w:rsidRPr="005B5FA7">
        <w:rPr>
          <w:rFonts w:ascii="黑体" w:eastAsia="黑体" w:hAnsi="黑体" w:hint="eastAsia"/>
          <w:sz w:val="28"/>
          <w:szCs w:val="28"/>
        </w:rPr>
        <w:t>责任主体</w:t>
      </w:r>
      <w:r>
        <w:rPr>
          <w:rFonts w:ascii="黑体" w:eastAsia="黑体" w:hAnsi="黑体" w:hint="eastAsia"/>
          <w:sz w:val="28"/>
          <w:szCs w:val="28"/>
        </w:rPr>
        <w:t>】</w:t>
      </w:r>
      <w:r w:rsidRPr="00DE5010">
        <w:rPr>
          <w:rFonts w:ascii="黑体" w:eastAsia="黑体" w:hAnsi="黑体" w:hint="eastAsia"/>
          <w:sz w:val="28"/>
          <w:szCs w:val="28"/>
        </w:rPr>
        <w:t>标准制定与资格对接分会、秘书处</w:t>
      </w:r>
    </w:p>
    <w:p w:rsidR="002D2602" w:rsidRDefault="004D1C2C" w:rsidP="00DE5010">
      <w:pPr>
        <w:pStyle w:val="a3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落实与中国证券业协会有关资格考试分数互认的合作细则</w:t>
      </w:r>
      <w:r w:rsidR="00081125">
        <w:rPr>
          <w:rFonts w:ascii="楷体" w:eastAsia="楷体" w:hAnsi="楷体" w:hint="eastAsia"/>
          <w:sz w:val="28"/>
          <w:szCs w:val="28"/>
        </w:rPr>
        <w:t>，以及探讨</w:t>
      </w:r>
      <w:r w:rsidR="000860AF">
        <w:rPr>
          <w:rFonts w:ascii="楷体" w:eastAsia="楷体" w:hAnsi="楷体" w:hint="eastAsia"/>
          <w:sz w:val="28"/>
          <w:szCs w:val="28"/>
        </w:rPr>
        <w:t>与其它</w:t>
      </w:r>
      <w:r w:rsidR="00081125">
        <w:rPr>
          <w:rFonts w:ascii="楷体" w:eastAsia="楷体" w:hAnsi="楷体" w:hint="eastAsia"/>
          <w:sz w:val="28"/>
          <w:szCs w:val="28"/>
        </w:rPr>
        <w:t>资格证书</w:t>
      </w:r>
      <w:r w:rsidR="00204742">
        <w:rPr>
          <w:rFonts w:ascii="楷体" w:eastAsia="楷体" w:hAnsi="楷体" w:hint="eastAsia"/>
          <w:sz w:val="28"/>
          <w:szCs w:val="28"/>
        </w:rPr>
        <w:t>（如“公司金融顾问”等）</w:t>
      </w:r>
      <w:r w:rsidR="00081125">
        <w:rPr>
          <w:rFonts w:ascii="楷体" w:eastAsia="楷体" w:hAnsi="楷体" w:hint="eastAsia"/>
          <w:sz w:val="28"/>
          <w:szCs w:val="28"/>
        </w:rPr>
        <w:t>的合作对接。</w:t>
      </w:r>
    </w:p>
    <w:p w:rsidR="00811642" w:rsidRPr="002D6788" w:rsidRDefault="00811642" w:rsidP="002D6788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sectPr w:rsidR="00811642" w:rsidRPr="002D6788" w:rsidSect="00BC23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2" w:rsidRDefault="00CB2362" w:rsidP="00F96008">
      <w:r>
        <w:separator/>
      </w:r>
    </w:p>
  </w:endnote>
  <w:endnote w:type="continuationSeparator" w:id="0">
    <w:p w:rsidR="00CB2362" w:rsidRDefault="00CB2362" w:rsidP="00F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534232364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2686" w:rsidRPr="003D2686" w:rsidRDefault="003D2686" w:rsidP="003D2686">
            <w:pPr>
              <w:pStyle w:val="a5"/>
              <w:jc w:val="right"/>
              <w:rPr>
                <w:sz w:val="21"/>
                <w:szCs w:val="21"/>
              </w:rPr>
            </w:pPr>
            <w:r w:rsidRPr="003D2686">
              <w:rPr>
                <w:sz w:val="21"/>
                <w:szCs w:val="21"/>
                <w:lang w:val="zh-CN"/>
              </w:rPr>
              <w:t xml:space="preserve"> </w: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begin"/>
            </w:r>
            <w:r w:rsidRPr="003D2686">
              <w:rPr>
                <w:b/>
                <w:bCs/>
                <w:sz w:val="21"/>
                <w:szCs w:val="21"/>
              </w:rPr>
              <w:instrText>PAGE</w:instrTex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separate"/>
            </w:r>
            <w:r w:rsidR="00160165">
              <w:rPr>
                <w:b/>
                <w:bCs/>
                <w:noProof/>
                <w:sz w:val="21"/>
                <w:szCs w:val="21"/>
              </w:rPr>
              <w:t>1</w: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end"/>
            </w:r>
            <w:r w:rsidRPr="003D2686">
              <w:rPr>
                <w:sz w:val="21"/>
                <w:szCs w:val="21"/>
                <w:lang w:val="zh-CN"/>
              </w:rPr>
              <w:t xml:space="preserve"> / </w: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begin"/>
            </w:r>
            <w:r w:rsidRPr="003D2686">
              <w:rPr>
                <w:b/>
                <w:bCs/>
                <w:sz w:val="21"/>
                <w:szCs w:val="21"/>
              </w:rPr>
              <w:instrText>NUMPAGES</w:instrTex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separate"/>
            </w:r>
            <w:r w:rsidR="00160165">
              <w:rPr>
                <w:b/>
                <w:bCs/>
                <w:noProof/>
                <w:sz w:val="21"/>
                <w:szCs w:val="21"/>
              </w:rPr>
              <w:t>5</w:t>
            </w:r>
            <w:r w:rsidR="000A720B" w:rsidRPr="003D2686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2" w:rsidRDefault="00CB2362" w:rsidP="00F96008">
      <w:r>
        <w:separator/>
      </w:r>
    </w:p>
  </w:footnote>
  <w:footnote w:type="continuationSeparator" w:id="0">
    <w:p w:rsidR="00CB2362" w:rsidRDefault="00CB2362" w:rsidP="00F9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C"/>
    <w:multiLevelType w:val="hybridMultilevel"/>
    <w:tmpl w:val="CD0AAB22"/>
    <w:lvl w:ilvl="0" w:tplc="EA288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0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89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48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2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C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4C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0C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F4ADF"/>
    <w:multiLevelType w:val="hybridMultilevel"/>
    <w:tmpl w:val="FDA0834A"/>
    <w:lvl w:ilvl="0" w:tplc="296C9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45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0E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EB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8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28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2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6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DB9"/>
    <w:multiLevelType w:val="hybridMultilevel"/>
    <w:tmpl w:val="F934F3E6"/>
    <w:lvl w:ilvl="0" w:tplc="2F4A9A1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61B44"/>
    <w:multiLevelType w:val="hybridMultilevel"/>
    <w:tmpl w:val="54BAD3C0"/>
    <w:lvl w:ilvl="0" w:tplc="0ABAD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67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AF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49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CC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02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27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4D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80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94DA2"/>
    <w:multiLevelType w:val="hybridMultilevel"/>
    <w:tmpl w:val="20D023C4"/>
    <w:lvl w:ilvl="0" w:tplc="73A60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49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48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A7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44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27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2A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6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C9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06F99"/>
    <w:multiLevelType w:val="hybridMultilevel"/>
    <w:tmpl w:val="22A44FF2"/>
    <w:lvl w:ilvl="0" w:tplc="7C9E5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A4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E4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5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C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04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A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CB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61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63873"/>
    <w:multiLevelType w:val="hybridMultilevel"/>
    <w:tmpl w:val="AF689DF8"/>
    <w:lvl w:ilvl="0" w:tplc="C95EA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06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A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5F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7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38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E2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6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5573A"/>
    <w:multiLevelType w:val="hybridMultilevel"/>
    <w:tmpl w:val="3F3C4E60"/>
    <w:lvl w:ilvl="0" w:tplc="880A8C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7F567B4"/>
    <w:multiLevelType w:val="hybridMultilevel"/>
    <w:tmpl w:val="6702500E"/>
    <w:lvl w:ilvl="0" w:tplc="95DA4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288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4B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0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00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86C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C9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EF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2A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F0DF1"/>
    <w:multiLevelType w:val="hybridMultilevel"/>
    <w:tmpl w:val="F6A82FE2"/>
    <w:lvl w:ilvl="0" w:tplc="455C5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83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6C4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4C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1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AA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67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47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0136B"/>
    <w:multiLevelType w:val="hybridMultilevel"/>
    <w:tmpl w:val="7BB431C0"/>
    <w:lvl w:ilvl="0" w:tplc="61B602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3901E0"/>
    <w:multiLevelType w:val="hybridMultilevel"/>
    <w:tmpl w:val="2ADC84A6"/>
    <w:lvl w:ilvl="0" w:tplc="5C9A038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9AC0458"/>
    <w:multiLevelType w:val="hybridMultilevel"/>
    <w:tmpl w:val="91D2D29E"/>
    <w:lvl w:ilvl="0" w:tplc="CEC27E0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02"/>
    <w:rsid w:val="00036BF6"/>
    <w:rsid w:val="0004111A"/>
    <w:rsid w:val="00063DE9"/>
    <w:rsid w:val="00074F8C"/>
    <w:rsid w:val="00081125"/>
    <w:rsid w:val="000860AF"/>
    <w:rsid w:val="000A720B"/>
    <w:rsid w:val="00103DB4"/>
    <w:rsid w:val="00147269"/>
    <w:rsid w:val="00160165"/>
    <w:rsid w:val="001A24CB"/>
    <w:rsid w:val="001B28F0"/>
    <w:rsid w:val="0020113F"/>
    <w:rsid w:val="00204742"/>
    <w:rsid w:val="00204A0D"/>
    <w:rsid w:val="0024475D"/>
    <w:rsid w:val="0026220F"/>
    <w:rsid w:val="0027506F"/>
    <w:rsid w:val="00281BA8"/>
    <w:rsid w:val="002B62B2"/>
    <w:rsid w:val="002D2602"/>
    <w:rsid w:val="002D6788"/>
    <w:rsid w:val="002F20C1"/>
    <w:rsid w:val="003340C0"/>
    <w:rsid w:val="003371C4"/>
    <w:rsid w:val="003B2787"/>
    <w:rsid w:val="003C45E5"/>
    <w:rsid w:val="003D2686"/>
    <w:rsid w:val="00495564"/>
    <w:rsid w:val="004C4351"/>
    <w:rsid w:val="004D1C2C"/>
    <w:rsid w:val="004E7B65"/>
    <w:rsid w:val="004F5B57"/>
    <w:rsid w:val="00570BE0"/>
    <w:rsid w:val="00584F16"/>
    <w:rsid w:val="005B5F5D"/>
    <w:rsid w:val="005B5FA7"/>
    <w:rsid w:val="005B60F2"/>
    <w:rsid w:val="0061205F"/>
    <w:rsid w:val="00685E3B"/>
    <w:rsid w:val="006B3D54"/>
    <w:rsid w:val="006E4ED9"/>
    <w:rsid w:val="006E5108"/>
    <w:rsid w:val="007065F0"/>
    <w:rsid w:val="00795852"/>
    <w:rsid w:val="007F6E3D"/>
    <w:rsid w:val="00811642"/>
    <w:rsid w:val="00853DCE"/>
    <w:rsid w:val="00885405"/>
    <w:rsid w:val="008E2F88"/>
    <w:rsid w:val="00936907"/>
    <w:rsid w:val="009A0F9A"/>
    <w:rsid w:val="009D5D5C"/>
    <w:rsid w:val="00A7277C"/>
    <w:rsid w:val="00AB6110"/>
    <w:rsid w:val="00B00D80"/>
    <w:rsid w:val="00B06914"/>
    <w:rsid w:val="00B54D26"/>
    <w:rsid w:val="00B70E97"/>
    <w:rsid w:val="00BC23F4"/>
    <w:rsid w:val="00BF71F9"/>
    <w:rsid w:val="00C27C28"/>
    <w:rsid w:val="00C762BD"/>
    <w:rsid w:val="00CB2362"/>
    <w:rsid w:val="00CB2AFA"/>
    <w:rsid w:val="00CE239B"/>
    <w:rsid w:val="00D75832"/>
    <w:rsid w:val="00DA0F3E"/>
    <w:rsid w:val="00DE2474"/>
    <w:rsid w:val="00DE5010"/>
    <w:rsid w:val="00DF7A91"/>
    <w:rsid w:val="00E17A08"/>
    <w:rsid w:val="00E65952"/>
    <w:rsid w:val="00E75284"/>
    <w:rsid w:val="00E92FA6"/>
    <w:rsid w:val="00F33C66"/>
    <w:rsid w:val="00F81C79"/>
    <w:rsid w:val="00F9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60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600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26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2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60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600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26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2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504390397</cp:lastModifiedBy>
  <cp:revision>2</cp:revision>
  <cp:lastPrinted>2017-12-12T10:24:00Z</cp:lastPrinted>
  <dcterms:created xsi:type="dcterms:W3CDTF">2017-12-15T07:24:00Z</dcterms:created>
  <dcterms:modified xsi:type="dcterms:W3CDTF">2017-12-15T07:24:00Z</dcterms:modified>
</cp:coreProperties>
</file>